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93327" w14:textId="3D48160A" w:rsidR="00112537" w:rsidRPr="00112537" w:rsidRDefault="00E01C56" w:rsidP="00112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Marine Weather </w:t>
      </w:r>
      <w:r w:rsidR="00112537" w:rsidRPr="00112537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Forecaster Performance Criterion 5.1</w:t>
      </w: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: </w:t>
      </w:r>
      <w:r w:rsidR="008417A4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Portfolio</w:t>
      </w:r>
    </w:p>
    <w:p w14:paraId="6BEC4195" w14:textId="77777777" w:rsidR="00112537" w:rsidRPr="00112537" w:rsidRDefault="00112537" w:rsidP="00112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112537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619CF48D" w14:textId="3B467941" w:rsidR="00112537" w:rsidRPr="00112537" w:rsidRDefault="00E01C56" w:rsidP="00112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E01C56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US" w:eastAsia="en-CH"/>
        </w:rPr>
        <w:t xml:space="preserve">C5.1 </w:t>
      </w:r>
      <w:r w:rsidRPr="00E01C56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 xml:space="preserve">Ensure that all forecasts and warnings are disseminated via the authorized communication channels to user </w:t>
      </w:r>
      <w:proofErr w:type="gramStart"/>
      <w:r w:rsidRPr="00E01C56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groups</w:t>
      </w:r>
      <w:proofErr w:type="gramEnd"/>
    </w:p>
    <w:p w14:paraId="5D5EB623" w14:textId="416E22C0" w:rsidR="00112537" w:rsidRPr="00112537" w:rsidRDefault="00112537" w:rsidP="00112537">
      <w:pPr>
        <w:spacing w:before="240" w:after="60" w:line="240" w:lineRule="auto"/>
        <w:outlineLvl w:val="1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en-CH"/>
        </w:rPr>
      </w:pPr>
      <w:r w:rsidRPr="00112537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Performance </w:t>
      </w:r>
      <w:r w:rsidR="00E01C56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c</w:t>
      </w:r>
      <w:r w:rsidRPr="00112537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riterion </w:t>
      </w:r>
      <w:r w:rsidR="00E01C56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comments</w:t>
      </w:r>
      <w:r w:rsidRPr="00112537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:</w:t>
      </w:r>
    </w:p>
    <w:p w14:paraId="157E52A8" w14:textId="3CA1E476" w:rsidR="00112537" w:rsidRPr="00112537" w:rsidRDefault="00112537" w:rsidP="00112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112537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The forecaster must ensure that the forecast/warning products being produced are disseminated </w:t>
      </w:r>
      <w:r w:rsidR="00E01C56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and</w:t>
      </w:r>
      <w:r w:rsidRPr="00112537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</w:t>
      </w:r>
      <w:r w:rsidR="00E01C56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received by</w:t>
      </w:r>
      <w:r w:rsidRPr="00112537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end users </w:t>
      </w:r>
      <w:r w:rsidR="008417A4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through authorized communication channels in </w:t>
      </w:r>
      <w:r w:rsidRPr="00112537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useful time</w:t>
      </w:r>
      <w:r w:rsidR="008417A4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frames</w:t>
      </w:r>
      <w:r w:rsidRPr="00112537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.</w:t>
      </w:r>
    </w:p>
    <w:p w14:paraId="2A35A6C3" w14:textId="77777777" w:rsidR="00112537" w:rsidRPr="00112537" w:rsidRDefault="00112537" w:rsidP="00112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112537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674B555D" w14:textId="77777777" w:rsidR="00112537" w:rsidRPr="00112537" w:rsidRDefault="00112537" w:rsidP="00112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1125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Scenario</w:t>
      </w:r>
      <w:r w:rsidRPr="00112537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       </w:t>
      </w:r>
    </w:p>
    <w:p w14:paraId="46AF3D3C" w14:textId="4AEFFD4B" w:rsidR="00FA7519" w:rsidRDefault="00FA7519" w:rsidP="00112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The forecast (or forecast team) produces a </w:t>
      </w:r>
      <w:r w:rsidR="00892FAE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forecast dissemination technology table based on WMO-No. 471, Section 2.3.2 and 2.8. This table would be </w:t>
      </w:r>
      <w:proofErr w:type="gramStart"/>
      <w:r w:rsidR="00892FAE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similar to</w:t>
      </w:r>
      <w:proofErr w:type="gramEnd"/>
      <w:r w:rsidR="00892FAE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the one required in Lesson 3 of the Marine Services Course. </w:t>
      </w:r>
    </w:p>
    <w:p w14:paraId="04998A4F" w14:textId="77777777" w:rsidR="00892FAE" w:rsidRDefault="00892FAE" w:rsidP="00112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</w:p>
    <w:p w14:paraId="48602D05" w14:textId="496EFC61" w:rsidR="00892FAE" w:rsidRDefault="00892FAE" w:rsidP="00112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As a starting point, the following table could be provided to guide completion:</w:t>
      </w:r>
    </w:p>
    <w:p w14:paraId="0C45929F" w14:textId="77777777" w:rsidR="00892FAE" w:rsidRDefault="00892FAE" w:rsidP="00112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9"/>
        <w:gridCol w:w="4856"/>
        <w:gridCol w:w="1050"/>
        <w:gridCol w:w="1201"/>
      </w:tblGrid>
      <w:tr w:rsidR="00892FAE" w14:paraId="040AC737" w14:textId="77777777" w:rsidTr="00892FAE">
        <w:tc>
          <w:tcPr>
            <w:tcW w:w="3256" w:type="dxa"/>
          </w:tcPr>
          <w:p w14:paraId="782C02C3" w14:textId="5A5FB2CA" w:rsidR="00892FAE" w:rsidRDefault="00892FAE" w:rsidP="0011253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AU" w:eastAsia="en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AU" w:eastAsia="en-CH"/>
              </w:rPr>
              <w:t>Area</w:t>
            </w:r>
          </w:p>
        </w:tc>
        <w:tc>
          <w:tcPr>
            <w:tcW w:w="3073" w:type="dxa"/>
          </w:tcPr>
          <w:p w14:paraId="4B72EB19" w14:textId="18E7500E" w:rsidR="00892FAE" w:rsidRDefault="00892FAE" w:rsidP="0011253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AU" w:eastAsia="en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AU" w:eastAsia="en-CH"/>
              </w:rPr>
              <w:t>Dissemination technology</w:t>
            </w:r>
          </w:p>
        </w:tc>
        <w:tc>
          <w:tcPr>
            <w:tcW w:w="1462" w:type="dxa"/>
          </w:tcPr>
          <w:p w14:paraId="12B20C74" w14:textId="6545604B" w:rsidR="00892FAE" w:rsidRDefault="00892FAE" w:rsidP="0011253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AU" w:eastAsia="en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AU" w:eastAsia="en-CH"/>
              </w:rPr>
              <w:t>Status of use</w:t>
            </w:r>
          </w:p>
        </w:tc>
        <w:tc>
          <w:tcPr>
            <w:tcW w:w="1225" w:type="dxa"/>
          </w:tcPr>
          <w:p w14:paraId="539486F8" w14:textId="0067CC12" w:rsidR="00892FAE" w:rsidRDefault="00892FAE" w:rsidP="0011253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AU" w:eastAsia="en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AU" w:eastAsia="en-CH"/>
              </w:rPr>
              <w:t>Notes on technical or training needs</w:t>
            </w:r>
          </w:p>
        </w:tc>
      </w:tr>
      <w:tr w:rsidR="00892FAE" w14:paraId="66D26CB2" w14:textId="77777777" w:rsidTr="00892FAE">
        <w:tc>
          <w:tcPr>
            <w:tcW w:w="3256" w:type="dxa"/>
          </w:tcPr>
          <w:p w14:paraId="2C894AC5" w14:textId="171259C2" w:rsidR="00892FAE" w:rsidRDefault="00892FAE" w:rsidP="0011253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AU" w:eastAsia="en-CH"/>
              </w:rPr>
            </w:pPr>
            <w:r w:rsidRPr="00892FA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AU" w:eastAsia="en-CH"/>
              </w:rPr>
              <w:t>Well offshore (sea areas A3 and A4)</w:t>
            </w:r>
          </w:p>
        </w:tc>
        <w:tc>
          <w:tcPr>
            <w:tcW w:w="3073" w:type="dxa"/>
          </w:tcPr>
          <w:tbl>
            <w:tblPr>
              <w:tblW w:w="4640" w:type="dxa"/>
              <w:tblLook w:val="04A0" w:firstRow="1" w:lastRow="0" w:firstColumn="1" w:lastColumn="0" w:noHBand="0" w:noVBand="1"/>
            </w:tblPr>
            <w:tblGrid>
              <w:gridCol w:w="4640"/>
            </w:tblGrid>
            <w:tr w:rsidR="00892FAE" w14:paraId="1205B054" w14:textId="77777777" w:rsidTr="00892FAE">
              <w:trPr>
                <w:trHeight w:val="680"/>
              </w:trPr>
              <w:tc>
                <w:tcPr>
                  <w:tcW w:w="4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27A89CF" w14:textId="77777777" w:rsidR="00892FAE" w:rsidRDefault="00892FAE" w:rsidP="00892FAE">
                  <w:pPr>
                    <w:rPr>
                      <w:rFonts w:ascii="Arial" w:hAnsi="Arial" w:cs="Arial"/>
                      <w:color w:val="231F20"/>
                    </w:rPr>
                  </w:pPr>
                  <w:r>
                    <w:rPr>
                      <w:rFonts w:ascii="Arial" w:hAnsi="Arial" w:cs="Arial"/>
                      <w:color w:val="231F20"/>
                    </w:rPr>
                    <w:t>– Enhanced Group Call (EGC) System satellite transmissions</w:t>
                  </w:r>
                </w:p>
              </w:tc>
            </w:tr>
            <w:tr w:rsidR="00892FAE" w14:paraId="60EF90CB" w14:textId="77777777" w:rsidTr="00892FAE">
              <w:trPr>
                <w:trHeight w:val="680"/>
              </w:trPr>
              <w:tc>
                <w:tcPr>
                  <w:tcW w:w="4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F4A5017" w14:textId="77777777" w:rsidR="00892FAE" w:rsidRDefault="00892FAE" w:rsidP="00892FAE">
                  <w:pPr>
                    <w:rPr>
                      <w:rFonts w:ascii="Arial" w:hAnsi="Arial" w:cs="Arial"/>
                      <w:color w:val="231F20"/>
                    </w:rPr>
                  </w:pPr>
                  <w:r>
                    <w:rPr>
                      <w:rFonts w:ascii="Arial" w:hAnsi="Arial" w:cs="Arial"/>
                      <w:color w:val="231F20"/>
                    </w:rPr>
                    <w:t>– High frequency narrow-band direct printing (HFNBDP)</w:t>
                  </w:r>
                </w:p>
              </w:tc>
            </w:tr>
            <w:tr w:rsidR="00892FAE" w14:paraId="513C193F" w14:textId="77777777" w:rsidTr="00892FAE">
              <w:trPr>
                <w:trHeight w:val="340"/>
              </w:trPr>
              <w:tc>
                <w:tcPr>
                  <w:tcW w:w="4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192A11F" w14:textId="77777777" w:rsidR="00892FAE" w:rsidRDefault="00892FAE" w:rsidP="00892FAE">
                  <w:pPr>
                    <w:rPr>
                      <w:rFonts w:ascii="Arial" w:hAnsi="Arial" w:cs="Arial"/>
                      <w:color w:val="231F20"/>
                    </w:rPr>
                  </w:pPr>
                  <w:r>
                    <w:rPr>
                      <w:rFonts w:ascii="Arial" w:hAnsi="Arial" w:cs="Arial"/>
                      <w:color w:val="231F20"/>
                    </w:rPr>
                    <w:t>– HF radio voice services</w:t>
                  </w:r>
                </w:p>
              </w:tc>
            </w:tr>
            <w:tr w:rsidR="00892FAE" w14:paraId="117196C2" w14:textId="77777777" w:rsidTr="00892FAE">
              <w:trPr>
                <w:trHeight w:val="340"/>
              </w:trPr>
              <w:tc>
                <w:tcPr>
                  <w:tcW w:w="4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9A170D0" w14:textId="77777777" w:rsidR="00892FAE" w:rsidRDefault="00892FAE" w:rsidP="00892FAE">
                  <w:pPr>
                    <w:rPr>
                      <w:rFonts w:ascii="Arial" w:hAnsi="Arial" w:cs="Arial"/>
                      <w:color w:val="231F20"/>
                    </w:rPr>
                  </w:pPr>
                  <w:r>
                    <w:rPr>
                      <w:rFonts w:ascii="Arial" w:hAnsi="Arial" w:cs="Arial"/>
                      <w:color w:val="231F20"/>
                    </w:rPr>
                    <w:t>– HF radiofax graphical services</w:t>
                  </w:r>
                </w:p>
              </w:tc>
            </w:tr>
            <w:tr w:rsidR="00892FAE" w14:paraId="2762D877" w14:textId="77777777" w:rsidTr="00892FAE">
              <w:trPr>
                <w:trHeight w:val="340"/>
              </w:trPr>
              <w:tc>
                <w:tcPr>
                  <w:tcW w:w="4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DB156FC" w14:textId="77777777" w:rsidR="00892FAE" w:rsidRDefault="00892FAE" w:rsidP="00892FAE">
                  <w:pPr>
                    <w:rPr>
                      <w:rFonts w:ascii="Arial" w:hAnsi="Arial" w:cs="Arial"/>
                      <w:color w:val="231F20"/>
                    </w:rPr>
                  </w:pPr>
                  <w:r>
                    <w:rPr>
                      <w:rFonts w:ascii="Arial" w:hAnsi="Arial" w:cs="Arial"/>
                      <w:color w:val="231F20"/>
                    </w:rPr>
                    <w:t>– HF email</w:t>
                  </w:r>
                </w:p>
              </w:tc>
            </w:tr>
            <w:tr w:rsidR="00892FAE" w14:paraId="0F8DC2DF" w14:textId="77777777" w:rsidTr="00892FAE">
              <w:trPr>
                <w:trHeight w:val="340"/>
              </w:trPr>
              <w:tc>
                <w:tcPr>
                  <w:tcW w:w="4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6171BAF" w14:textId="77777777" w:rsidR="00892FAE" w:rsidRDefault="00892FAE" w:rsidP="00892FAE">
                  <w:pPr>
                    <w:rPr>
                      <w:rFonts w:ascii="Arial" w:hAnsi="Arial" w:cs="Arial"/>
                      <w:color w:val="231F20"/>
                    </w:rPr>
                  </w:pPr>
                  <w:r>
                    <w:rPr>
                      <w:rFonts w:ascii="Arial" w:hAnsi="Arial" w:cs="Arial"/>
                      <w:color w:val="231F20"/>
                    </w:rPr>
                    <w:t>– Internet delivered by satellite providers</w:t>
                  </w:r>
                </w:p>
              </w:tc>
            </w:tr>
          </w:tbl>
          <w:p w14:paraId="2A062D7A" w14:textId="77777777" w:rsidR="00892FAE" w:rsidRPr="00892FAE" w:rsidRDefault="00892FAE" w:rsidP="0011253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en-CH"/>
              </w:rPr>
            </w:pPr>
          </w:p>
        </w:tc>
        <w:tc>
          <w:tcPr>
            <w:tcW w:w="1462" w:type="dxa"/>
          </w:tcPr>
          <w:p w14:paraId="4A0B66DA" w14:textId="77777777" w:rsidR="00892FAE" w:rsidRDefault="00892FAE" w:rsidP="0011253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AU" w:eastAsia="en-CH"/>
              </w:rPr>
            </w:pPr>
          </w:p>
        </w:tc>
        <w:tc>
          <w:tcPr>
            <w:tcW w:w="1225" w:type="dxa"/>
          </w:tcPr>
          <w:p w14:paraId="3275A89D" w14:textId="77777777" w:rsidR="00892FAE" w:rsidRDefault="00892FAE" w:rsidP="0011253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AU" w:eastAsia="en-CH"/>
              </w:rPr>
            </w:pPr>
          </w:p>
        </w:tc>
      </w:tr>
      <w:tr w:rsidR="00892FAE" w14:paraId="27CDC07B" w14:textId="77777777" w:rsidTr="00892FAE">
        <w:tc>
          <w:tcPr>
            <w:tcW w:w="3256" w:type="dxa"/>
          </w:tcPr>
          <w:p w14:paraId="31A0C474" w14:textId="4B0FC5C0" w:rsidR="00892FAE" w:rsidRDefault="00892FAE" w:rsidP="0011253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AU" w:eastAsia="en-CH"/>
              </w:rPr>
            </w:pPr>
            <w:r w:rsidRPr="00892FA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AU" w:eastAsia="en-CH"/>
              </w:rPr>
              <w:t>Coastal areas (sea areas A1 and A2)</w:t>
            </w:r>
          </w:p>
        </w:tc>
        <w:tc>
          <w:tcPr>
            <w:tcW w:w="3073" w:type="dxa"/>
          </w:tcPr>
          <w:tbl>
            <w:tblPr>
              <w:tblW w:w="4640" w:type="dxa"/>
              <w:tblLook w:val="04A0" w:firstRow="1" w:lastRow="0" w:firstColumn="1" w:lastColumn="0" w:noHBand="0" w:noVBand="1"/>
            </w:tblPr>
            <w:tblGrid>
              <w:gridCol w:w="4640"/>
            </w:tblGrid>
            <w:tr w:rsidR="00892FAE" w14:paraId="41450560" w14:textId="77777777" w:rsidTr="00892FAE">
              <w:trPr>
                <w:trHeight w:val="680"/>
              </w:trPr>
              <w:tc>
                <w:tcPr>
                  <w:tcW w:w="4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28D4962" w14:textId="77777777" w:rsidR="00892FAE" w:rsidRDefault="00892FAE" w:rsidP="00892FAE">
                  <w:pPr>
                    <w:rPr>
                      <w:rFonts w:ascii="Arial" w:hAnsi="Arial" w:cs="Arial"/>
                      <w:color w:val="231F20"/>
                    </w:rPr>
                  </w:pPr>
                  <w:r>
                    <w:rPr>
                      <w:rFonts w:ascii="Arial" w:hAnsi="Arial" w:cs="Arial"/>
                      <w:color w:val="231F20"/>
                    </w:rPr>
                    <w:t>– Very high frequency (VHF)/medium frequency (MF) radio</w:t>
                  </w:r>
                </w:p>
              </w:tc>
            </w:tr>
            <w:tr w:rsidR="00892FAE" w14:paraId="6CBD43D3" w14:textId="77777777" w:rsidTr="00892FAE">
              <w:trPr>
                <w:trHeight w:val="340"/>
              </w:trPr>
              <w:tc>
                <w:tcPr>
                  <w:tcW w:w="4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FEC0660" w14:textId="77777777" w:rsidR="00892FAE" w:rsidRDefault="00892FAE" w:rsidP="00892FAE">
                  <w:pPr>
                    <w:rPr>
                      <w:rFonts w:ascii="Arial" w:hAnsi="Arial" w:cs="Arial"/>
                      <w:color w:val="231F20"/>
                    </w:rPr>
                  </w:pPr>
                  <w:r>
                    <w:rPr>
                      <w:rFonts w:ascii="Arial" w:hAnsi="Arial" w:cs="Arial"/>
                      <w:color w:val="231F20"/>
                    </w:rPr>
                    <w:t>– NAVTEX</w:t>
                  </w:r>
                </w:p>
              </w:tc>
            </w:tr>
            <w:tr w:rsidR="00892FAE" w14:paraId="2F1EC461" w14:textId="77777777" w:rsidTr="00892FAE">
              <w:trPr>
                <w:trHeight w:val="340"/>
              </w:trPr>
              <w:tc>
                <w:tcPr>
                  <w:tcW w:w="4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3DFE346" w14:textId="77777777" w:rsidR="00892FAE" w:rsidRDefault="00892FAE" w:rsidP="00892FAE">
                  <w:pPr>
                    <w:rPr>
                      <w:rFonts w:ascii="Arial" w:hAnsi="Arial" w:cs="Arial"/>
                      <w:color w:val="231F20"/>
                    </w:rPr>
                  </w:pPr>
                  <w:r>
                    <w:rPr>
                      <w:rFonts w:ascii="Arial" w:hAnsi="Arial" w:cs="Arial"/>
                      <w:color w:val="231F20"/>
                    </w:rPr>
                    <w:t>– International NAVTEX</w:t>
                  </w:r>
                </w:p>
              </w:tc>
            </w:tr>
            <w:tr w:rsidR="00892FAE" w14:paraId="7579D87B" w14:textId="77777777" w:rsidTr="00892FAE">
              <w:trPr>
                <w:trHeight w:val="680"/>
              </w:trPr>
              <w:tc>
                <w:tcPr>
                  <w:tcW w:w="4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A608FCF" w14:textId="77777777" w:rsidR="00892FAE" w:rsidRDefault="00892FAE" w:rsidP="00892FAE">
                  <w:pPr>
                    <w:rPr>
                      <w:rFonts w:ascii="Arial" w:hAnsi="Arial" w:cs="Arial"/>
                      <w:color w:val="231F20"/>
                    </w:rPr>
                  </w:pPr>
                  <w:r>
                    <w:rPr>
                      <w:rFonts w:ascii="Arial" w:hAnsi="Arial" w:cs="Arial"/>
                      <w:color w:val="231F20"/>
                    </w:rPr>
                    <w:t>– Internet delivered by mobile network provider</w:t>
                  </w:r>
                </w:p>
              </w:tc>
            </w:tr>
          </w:tbl>
          <w:p w14:paraId="7F9D5D2B" w14:textId="77777777" w:rsidR="00892FAE" w:rsidRPr="00892FAE" w:rsidRDefault="00892FAE" w:rsidP="0011253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en-CH"/>
              </w:rPr>
            </w:pPr>
          </w:p>
        </w:tc>
        <w:tc>
          <w:tcPr>
            <w:tcW w:w="1462" w:type="dxa"/>
          </w:tcPr>
          <w:p w14:paraId="530C4251" w14:textId="77777777" w:rsidR="00892FAE" w:rsidRDefault="00892FAE" w:rsidP="0011253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AU" w:eastAsia="en-CH"/>
              </w:rPr>
            </w:pPr>
          </w:p>
        </w:tc>
        <w:tc>
          <w:tcPr>
            <w:tcW w:w="1225" w:type="dxa"/>
          </w:tcPr>
          <w:p w14:paraId="1858F578" w14:textId="77777777" w:rsidR="00892FAE" w:rsidRDefault="00892FAE" w:rsidP="0011253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AU" w:eastAsia="en-CH"/>
              </w:rPr>
            </w:pPr>
          </w:p>
        </w:tc>
      </w:tr>
      <w:tr w:rsidR="00892FAE" w14:paraId="71CF4A0C" w14:textId="77777777" w:rsidTr="00892FAE">
        <w:tc>
          <w:tcPr>
            <w:tcW w:w="3256" w:type="dxa"/>
          </w:tcPr>
          <w:p w14:paraId="1B5DF7E4" w14:textId="492A2277" w:rsidR="00892FAE" w:rsidRDefault="00892FAE" w:rsidP="0011253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AU" w:eastAsia="en-CH"/>
              </w:rPr>
            </w:pPr>
            <w:r w:rsidRPr="00892FA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AU" w:eastAsia="en-CH"/>
              </w:rPr>
              <w:t xml:space="preserve">Ports, </w:t>
            </w:r>
            <w:proofErr w:type="gramStart"/>
            <w:r w:rsidRPr="00892FA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AU" w:eastAsia="en-CH"/>
              </w:rPr>
              <w:t>coastlines</w:t>
            </w:r>
            <w:proofErr w:type="gramEnd"/>
            <w:r w:rsidRPr="00892FA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AU" w:eastAsia="en-CH"/>
              </w:rPr>
              <w:t xml:space="preserve"> and land-based support operations</w:t>
            </w:r>
          </w:p>
        </w:tc>
        <w:tc>
          <w:tcPr>
            <w:tcW w:w="3073" w:type="dxa"/>
          </w:tcPr>
          <w:tbl>
            <w:tblPr>
              <w:tblW w:w="4640" w:type="dxa"/>
              <w:tblLook w:val="04A0" w:firstRow="1" w:lastRow="0" w:firstColumn="1" w:lastColumn="0" w:noHBand="0" w:noVBand="1"/>
            </w:tblPr>
            <w:tblGrid>
              <w:gridCol w:w="4640"/>
            </w:tblGrid>
            <w:tr w:rsidR="00892FAE" w14:paraId="07536320" w14:textId="77777777" w:rsidTr="00892FAE">
              <w:trPr>
                <w:trHeight w:val="340"/>
              </w:trPr>
              <w:tc>
                <w:tcPr>
                  <w:tcW w:w="4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D1059D7" w14:textId="77777777" w:rsidR="00892FAE" w:rsidRDefault="00892FAE" w:rsidP="00892FAE">
                  <w:pPr>
                    <w:rPr>
                      <w:rFonts w:ascii="Arial" w:hAnsi="Arial" w:cs="Arial"/>
                      <w:color w:val="231F20"/>
                    </w:rPr>
                  </w:pPr>
                  <w:r>
                    <w:rPr>
                      <w:rFonts w:ascii="Arial" w:hAnsi="Arial" w:cs="Arial"/>
                      <w:color w:val="231F20"/>
                    </w:rPr>
                    <w:t>– Internet</w:t>
                  </w:r>
                </w:p>
              </w:tc>
            </w:tr>
            <w:tr w:rsidR="00892FAE" w14:paraId="39D7F275" w14:textId="77777777" w:rsidTr="00892FAE">
              <w:trPr>
                <w:trHeight w:val="340"/>
              </w:trPr>
              <w:tc>
                <w:tcPr>
                  <w:tcW w:w="4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50E8A2F" w14:textId="77777777" w:rsidR="00892FAE" w:rsidRDefault="00892FAE" w:rsidP="00892FAE">
                  <w:pPr>
                    <w:rPr>
                      <w:rFonts w:ascii="Arial" w:hAnsi="Arial" w:cs="Arial"/>
                      <w:color w:val="231F20"/>
                    </w:rPr>
                  </w:pPr>
                  <w:r>
                    <w:rPr>
                      <w:rFonts w:ascii="Arial" w:hAnsi="Arial" w:cs="Arial"/>
                      <w:color w:val="231F20"/>
                    </w:rPr>
                    <w:t>– VHF radio</w:t>
                  </w:r>
                </w:p>
              </w:tc>
            </w:tr>
            <w:tr w:rsidR="00892FAE" w14:paraId="5F0BD073" w14:textId="77777777" w:rsidTr="00892FAE">
              <w:trPr>
                <w:trHeight w:val="340"/>
              </w:trPr>
              <w:tc>
                <w:tcPr>
                  <w:tcW w:w="4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C7D53FD" w14:textId="77777777" w:rsidR="00892FAE" w:rsidRDefault="00892FAE" w:rsidP="00892FAE">
                  <w:pPr>
                    <w:rPr>
                      <w:rFonts w:ascii="Arial" w:hAnsi="Arial" w:cs="Arial"/>
                      <w:color w:val="231F20"/>
                    </w:rPr>
                  </w:pPr>
                  <w:r>
                    <w:rPr>
                      <w:rFonts w:ascii="Arial" w:hAnsi="Arial" w:cs="Arial"/>
                      <w:color w:val="231F20"/>
                    </w:rPr>
                    <w:t>– NAVTEX</w:t>
                  </w:r>
                </w:p>
              </w:tc>
            </w:tr>
          </w:tbl>
          <w:p w14:paraId="7EFBAB0F" w14:textId="77777777" w:rsidR="00892FAE" w:rsidRDefault="00892FAE" w:rsidP="0011253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AU" w:eastAsia="en-CH"/>
              </w:rPr>
            </w:pPr>
          </w:p>
        </w:tc>
        <w:tc>
          <w:tcPr>
            <w:tcW w:w="1462" w:type="dxa"/>
          </w:tcPr>
          <w:p w14:paraId="17DE585C" w14:textId="77777777" w:rsidR="00892FAE" w:rsidRDefault="00892FAE" w:rsidP="0011253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AU" w:eastAsia="en-CH"/>
              </w:rPr>
            </w:pPr>
          </w:p>
        </w:tc>
        <w:tc>
          <w:tcPr>
            <w:tcW w:w="1225" w:type="dxa"/>
          </w:tcPr>
          <w:p w14:paraId="47F08947" w14:textId="77777777" w:rsidR="00892FAE" w:rsidRDefault="00892FAE" w:rsidP="0011253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AU" w:eastAsia="en-CH"/>
              </w:rPr>
            </w:pPr>
          </w:p>
        </w:tc>
      </w:tr>
      <w:tr w:rsidR="00892FAE" w14:paraId="5E1FCCEC" w14:textId="77777777" w:rsidTr="00892FAE">
        <w:tc>
          <w:tcPr>
            <w:tcW w:w="3256" w:type="dxa"/>
          </w:tcPr>
          <w:p w14:paraId="3858A5B9" w14:textId="6E81A098" w:rsidR="00892FAE" w:rsidRDefault="00892FAE" w:rsidP="0011253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AU" w:eastAsia="en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AU" w:eastAsia="en-CH"/>
              </w:rPr>
              <w:lastRenderedPageBreak/>
              <w:t>CAP alerts</w:t>
            </w:r>
          </w:p>
        </w:tc>
        <w:tc>
          <w:tcPr>
            <w:tcW w:w="3073" w:type="dxa"/>
          </w:tcPr>
          <w:tbl>
            <w:tblPr>
              <w:tblW w:w="4640" w:type="dxa"/>
              <w:tblLook w:val="04A0" w:firstRow="1" w:lastRow="0" w:firstColumn="1" w:lastColumn="0" w:noHBand="0" w:noVBand="1"/>
            </w:tblPr>
            <w:tblGrid>
              <w:gridCol w:w="4640"/>
            </w:tblGrid>
            <w:tr w:rsidR="00892FAE" w14:paraId="07FDA437" w14:textId="77777777" w:rsidTr="00892FAE">
              <w:trPr>
                <w:trHeight w:val="320"/>
              </w:trPr>
              <w:tc>
                <w:tcPr>
                  <w:tcW w:w="4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AA57171" w14:textId="77777777" w:rsidR="00892FAE" w:rsidRDefault="00892FAE" w:rsidP="00892FA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- receiving and monitoring CAP alerts</w:t>
                  </w:r>
                </w:p>
              </w:tc>
            </w:tr>
            <w:tr w:rsidR="00892FAE" w14:paraId="73CA9360" w14:textId="77777777" w:rsidTr="00892FAE">
              <w:trPr>
                <w:trHeight w:val="320"/>
              </w:trPr>
              <w:tc>
                <w:tcPr>
                  <w:tcW w:w="4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891933F" w14:textId="77777777" w:rsidR="00892FAE" w:rsidRDefault="00892FAE" w:rsidP="00892FA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- sending CAP alerts</w:t>
                  </w:r>
                </w:p>
              </w:tc>
            </w:tr>
          </w:tbl>
          <w:p w14:paraId="3BDA6B52" w14:textId="77777777" w:rsidR="00892FAE" w:rsidRDefault="00892FAE" w:rsidP="0011253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AU" w:eastAsia="en-CH"/>
              </w:rPr>
            </w:pPr>
          </w:p>
        </w:tc>
        <w:tc>
          <w:tcPr>
            <w:tcW w:w="1462" w:type="dxa"/>
          </w:tcPr>
          <w:p w14:paraId="4553FCB5" w14:textId="77777777" w:rsidR="00892FAE" w:rsidRDefault="00892FAE" w:rsidP="0011253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AU" w:eastAsia="en-CH"/>
              </w:rPr>
            </w:pPr>
          </w:p>
        </w:tc>
        <w:tc>
          <w:tcPr>
            <w:tcW w:w="1225" w:type="dxa"/>
          </w:tcPr>
          <w:p w14:paraId="42129661" w14:textId="77777777" w:rsidR="00892FAE" w:rsidRDefault="00892FAE" w:rsidP="0011253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AU" w:eastAsia="en-CH"/>
              </w:rPr>
            </w:pPr>
          </w:p>
        </w:tc>
      </w:tr>
    </w:tbl>
    <w:p w14:paraId="39DE2E37" w14:textId="77777777" w:rsidR="00892FAE" w:rsidRDefault="00892FAE" w:rsidP="00112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</w:p>
    <w:p w14:paraId="52A60D9F" w14:textId="77777777" w:rsidR="00892FAE" w:rsidRDefault="00892FAE" w:rsidP="00112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</w:p>
    <w:p w14:paraId="12AD7601" w14:textId="77777777" w:rsidR="00112537" w:rsidRPr="00112537" w:rsidRDefault="00112537" w:rsidP="00112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112537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49E581EA" w14:textId="77777777" w:rsidR="00112537" w:rsidRPr="00112537" w:rsidRDefault="00112537" w:rsidP="00112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112537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04B5CE4B" w14:textId="77777777" w:rsidR="00B827BE" w:rsidRDefault="00B827BE"/>
    <w:sectPr w:rsidR="00B827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D64FA"/>
    <w:multiLevelType w:val="hybridMultilevel"/>
    <w:tmpl w:val="4FF28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682300"/>
    <w:multiLevelType w:val="hybridMultilevel"/>
    <w:tmpl w:val="EE1C31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7643665">
    <w:abstractNumId w:val="0"/>
  </w:num>
  <w:num w:numId="2" w16cid:durableId="1564877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37"/>
    <w:rsid w:val="00112537"/>
    <w:rsid w:val="002328C8"/>
    <w:rsid w:val="007C4382"/>
    <w:rsid w:val="008207BA"/>
    <w:rsid w:val="008368F9"/>
    <w:rsid w:val="008417A4"/>
    <w:rsid w:val="00892FAE"/>
    <w:rsid w:val="00937712"/>
    <w:rsid w:val="00B827BE"/>
    <w:rsid w:val="00E01C56"/>
    <w:rsid w:val="00FA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A5847"/>
  <w15:chartTrackingRefBased/>
  <w15:docId w15:val="{516E20D2-ECEF-4D8F-95E6-2870FB492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68F9"/>
    <w:pPr>
      <w:ind w:left="720"/>
      <w:contextualSpacing/>
    </w:pPr>
  </w:style>
  <w:style w:type="paragraph" w:styleId="Revision">
    <w:name w:val="Revision"/>
    <w:hidden/>
    <w:uiPriority w:val="99"/>
    <w:semiHidden/>
    <w:rsid w:val="00FA7519"/>
    <w:pPr>
      <w:spacing w:after="0" w:line="240" w:lineRule="auto"/>
    </w:pPr>
  </w:style>
  <w:style w:type="table" w:styleId="TableGrid">
    <w:name w:val="Table Grid"/>
    <w:basedOn w:val="TableNormal"/>
    <w:uiPriority w:val="39"/>
    <w:rsid w:val="00892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4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F00035FFDF1043BBFAB17A643534C7" ma:contentTypeVersion="13" ma:contentTypeDescription="Create a new document." ma:contentTypeScope="" ma:versionID="b4f288ed8fa75ae88e8f1cbc9c8d72d5">
  <xsd:schema xmlns:xsd="http://www.w3.org/2001/XMLSchema" xmlns:xs="http://www.w3.org/2001/XMLSchema" xmlns:p="http://schemas.microsoft.com/office/2006/metadata/properties" xmlns:ns3="b227bcb1-4463-469b-801b-45360a781bb1" xmlns:ns4="c05528c2-079a-4632-9d5b-1946ddd85d80" targetNamespace="http://schemas.microsoft.com/office/2006/metadata/properties" ma:root="true" ma:fieldsID="ef84bd1841fdc115ff2424ab6e0d71f0" ns3:_="" ns4:_="">
    <xsd:import namespace="b227bcb1-4463-469b-801b-45360a781bb1"/>
    <xsd:import namespace="c05528c2-079a-4632-9d5b-1946ddd85d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7bcb1-4463-469b-801b-45360a781b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528c2-079a-4632-9d5b-1946ddd85d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C17FA5-1D26-450C-8823-E0D053C95A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27bcb1-4463-469b-801b-45360a781bb1"/>
    <ds:schemaRef ds:uri="c05528c2-079a-4632-9d5b-1946ddd85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4AEA64-0892-467D-87FF-24E52CFBBB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C4F007-28ED-4A2A-A97C-E95999D53DB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Misa Funaki</dc:creator>
  <cp:keywords/>
  <dc:description/>
  <cp:lastModifiedBy>Patrick Parrish</cp:lastModifiedBy>
  <cp:revision>4</cp:revision>
  <dcterms:created xsi:type="dcterms:W3CDTF">2023-08-10T11:55:00Z</dcterms:created>
  <dcterms:modified xsi:type="dcterms:W3CDTF">2023-08-10T12:17:00Z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0x0101004AF00035FFDF1043BBFAB17A643534C7</vt:lpwstr>
  </property>
</Properties>
</file>